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C" w:rsidRPr="00E86EFD" w:rsidRDefault="001F3F8C" w:rsidP="001F3F8C">
      <w:pPr>
        <w:jc w:val="center"/>
        <w:rPr>
          <w:rFonts w:ascii="方正大标宋简体" w:eastAsia="方正大标宋简体"/>
          <w:color w:val="000000"/>
          <w:sz w:val="36"/>
          <w:szCs w:val="36"/>
        </w:rPr>
      </w:pPr>
      <w:r w:rsidRPr="00E86EFD">
        <w:rPr>
          <w:rFonts w:ascii="方正大标宋简体" w:eastAsia="方正大标宋简体" w:hint="eastAsia"/>
          <w:color w:val="000000"/>
          <w:sz w:val="36"/>
          <w:szCs w:val="36"/>
        </w:rPr>
        <w:t>优势学科建设工程专项资金跟踪审计流程图</w:t>
      </w:r>
    </w:p>
    <w:p w:rsidR="001F3F8C" w:rsidRPr="00E86EFD" w:rsidRDefault="001F3F8C" w:rsidP="001F3F8C">
      <w:pPr>
        <w:rPr>
          <w:b/>
          <w:bCs/>
          <w:color w:val="000000"/>
          <w:sz w:val="28"/>
          <w:szCs w:val="28"/>
        </w:rPr>
      </w:pPr>
      <w:r w:rsidRPr="00E86EFD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315pt;margin-top:171.6pt;width:99.75pt;height:23.4pt;z-index:251684864" filled="f">
            <v:textbox style="mso-next-textbox:#_x0000_s2074">
              <w:txbxContent>
                <w:p w:rsidR="001F3F8C" w:rsidRPr="002507D3" w:rsidRDefault="001F3F8C" w:rsidP="001F3F8C">
                  <w:r>
                    <w:rPr>
                      <w:rFonts w:cs="宋体" w:hint="eastAsia"/>
                    </w:rPr>
                    <w:t>实施审计前三天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73" type="#_x0000_t202" style="position:absolute;left:0;text-align:left;margin-left:292.45pt;margin-top:491.05pt;width:164.95pt;height:23.4pt;z-index:251683840" filled="f">
            <v:textbox style="mso-next-textbox:#_x0000_s2073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审计处处长审核</w:t>
                  </w:r>
                  <w:r>
                    <w:rPr>
                      <w:rFonts w:cs="宋体" w:hint="eastAsia"/>
                    </w:rPr>
                    <w:t>,</w:t>
                  </w:r>
                  <w:r>
                    <w:rPr>
                      <w:rFonts w:cs="宋体" w:hint="eastAsia"/>
                    </w:rPr>
                    <w:t>分管校领导签署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71" type="#_x0000_t202" style="position:absolute;left:0;text-align:left;margin-left:301.9pt;margin-top:421.2pt;width:152.65pt;height:23.4pt;z-index:251681792" filled="f">
            <v:textbox style="mso-next-textbox:#_x0000_s2071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交换意见稿经审计处处长审核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70" type="#_x0000_t202" style="position:absolute;left:0;text-align:left;margin-left:316.1pt;margin-top:371.7pt;width:135pt;height:23.4pt;z-index:251680768" filled="f">
            <v:textbox style="mso-next-textbox:#_x0000_s2070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审计工作底稿经组长复核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9" type="#_x0000_t202" style="position:absolute;left:0;text-align:left;margin-left:162.35pt;margin-top:589.8pt;width:99.75pt;height:23.4pt;z-index:251679744" filled="f">
            <v:textbox style="mso-next-textbox:#_x0000_s2069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审计归档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8" type="#_x0000_t202" style="position:absolute;left:0;text-align:left;margin-left:160.85pt;margin-top:541.05pt;width:99.75pt;height:23.4pt;z-index:251678720" filled="f">
            <v:textbox style="mso-next-textbox:#_x0000_s2068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后续审计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7" type="#_x0000_t202" style="position:absolute;left:0;text-align:left;margin-left:161.2pt;margin-top:490.8pt;width:99.75pt;height:23.4pt;z-index:251677696" filled="f">
            <v:textbox style="mso-next-textbox:#_x0000_s2067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审计报告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6" type="#_x0000_t202" style="position:absolute;left:0;text-align:left;margin-left:2in;margin-top:421.2pt;width:135pt;height:23.4pt;z-index:251676672" filled="f">
            <v:textbox style="mso-next-textbox:#_x0000_s2066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审计报告（交换意见稿）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5" type="#_x0000_t202" style="position:absolute;left:0;text-align:left;margin-left:158.6pt;margin-top:371.55pt;width:99.75pt;height:23.4pt;z-index:251675648" filled="f">
            <v:textbox style="mso-next-textbox:#_x0000_s2065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审计工作底稿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4" type="#_x0000_t202" style="position:absolute;left:0;text-align:left;margin-left:351pt;margin-top:249.6pt;width:81pt;height:85.8pt;z-index:251674624" filled="f">
            <v:textbox style="mso-next-textbox:#_x0000_s2064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绩效考核</w:t>
                  </w:r>
                </w:p>
                <w:p w:rsidR="001F3F8C" w:rsidRDefault="001F3F8C" w:rsidP="001F3F8C"/>
                <w:p w:rsidR="001F3F8C" w:rsidRDefault="001F3F8C" w:rsidP="001F3F8C">
                  <w:r>
                    <w:rPr>
                      <w:rFonts w:cs="宋体" w:hint="eastAsia"/>
                    </w:rPr>
                    <w:t>是否建立绩效考核体系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3" type="#_x0000_t202" style="position:absolute;left:0;text-align:left;margin-left:261pt;margin-top:249.6pt;width:81pt;height:85.8pt;z-index:251673600" filled="f">
            <v:textbox style="mso-next-textbox:#_x0000_s2063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资金使用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、是否符合十一项范围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、是否专款专用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2" type="#_x0000_t202" style="position:absolute;left:0;text-align:left;margin-left:171pt;margin-top:249.6pt;width:81pt;height:85.8pt;z-index:251672576" filled="f">
            <v:textbox style="mso-next-textbox:#_x0000_s2062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资金管理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、是否统一管理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、是否建立内部控制制度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1" type="#_x0000_t202" style="position:absolute;left:0;text-align:left;margin-left:81pt;margin-top:249.6pt;width:81pt;height:85.8pt;z-index:251671552" filled="f">
            <v:textbox style="mso-next-textbox:#_x0000_s2061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资金预算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、符合相关规定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、有无超预算或调整预算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60" type="#_x0000_t202" style="position:absolute;left:0;text-align:left;margin-left:-9pt;margin-top:249.6pt;width:81pt;height:85.8pt;z-index:251670528" filled="f">
            <v:textbox style="mso-next-textbox:#_x0000_s2060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资金筹措</w:t>
                  </w:r>
                </w:p>
                <w:p w:rsidR="001F3F8C" w:rsidRDefault="001F3F8C" w:rsidP="001F3F8C"/>
                <w:p w:rsidR="001F3F8C" w:rsidRDefault="001F3F8C" w:rsidP="001F3F8C">
                  <w:r>
                    <w:rPr>
                      <w:rFonts w:cs="宋体" w:hint="eastAsia"/>
                    </w:rPr>
                    <w:t>是否及时、足额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59" type="#_x0000_t202" style="position:absolute;left:0;text-align:left;margin-left:156.3pt;margin-top:197.4pt;width:99.75pt;height:23.4pt;z-index:251669504" filled="f">
            <v:textbox style="mso-next-textbox:#_x0000_s2059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实施审计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58" type="#_x0000_t202" style="position:absolute;left:0;text-align:left;margin-left:315pt;margin-top:109.2pt;width:135pt;height:39pt;z-index:-251648000" filled="f">
            <v:textbox style="mso-next-textbox:#_x0000_s2058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了解被审计对象情况，制定审计工作方案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57" type="#_x0000_t202" style="position:absolute;left:0;text-align:left;margin-left:156.2pt;margin-top:148.05pt;width:99pt;height:23.4pt;z-index:-251649024" filled="f">
            <v:textbox style="mso-next-textbox:#_x0000_s2057">
              <w:txbxContent>
                <w:p w:rsidR="001F3F8C" w:rsidRPr="002507D3" w:rsidRDefault="001F3F8C" w:rsidP="001F3F8C">
                  <w:pPr>
                    <w:jc w:val="center"/>
                  </w:pPr>
                  <w:r>
                    <w:rPr>
                      <w:rFonts w:cs="宋体" w:hint="eastAsia"/>
                    </w:rPr>
                    <w:t>发送审计通知书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56" type="#_x0000_t202" style="position:absolute;left:0;text-align:left;margin-left:63pt;margin-top:39pt;width:279pt;height:23.4pt;z-index:251666432" filled="f">
            <v:textbox style="mso-next-textbox:#_x0000_s2056">
              <w:txbxContent>
                <w:p w:rsidR="001F3F8C" w:rsidRPr="002507D3" w:rsidRDefault="001F3F8C" w:rsidP="001F3F8C">
                  <w:pPr>
                    <w:jc w:val="center"/>
                    <w:rPr>
                      <w:sz w:val="24"/>
                    </w:rPr>
                  </w:pPr>
                  <w:r w:rsidRPr="002507D3">
                    <w:rPr>
                      <w:rFonts w:cs="宋体" w:hint="eastAsia"/>
                      <w:sz w:val="24"/>
                    </w:rPr>
                    <w:t>根据年度审计计划或上级安排确定跟踪审计项目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shape id="_x0000_s2055" type="#_x0000_t202" style="position:absolute;left:0;text-align:left;margin-left:2in;margin-top:85.8pt;width:126pt;height:23.4pt;z-index:-251651072" filled="f">
            <v:textbox style="mso-next-textbox:#_x0000_s2055">
              <w:txbxContent>
                <w:p w:rsidR="001F3F8C" w:rsidRPr="002507D3" w:rsidRDefault="001F3F8C" w:rsidP="001F3F8C">
                  <w:r>
                    <w:rPr>
                      <w:rFonts w:cs="宋体" w:hint="eastAsia"/>
                    </w:rPr>
                    <w:t>成立跟踪审计工作小组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group id="_x0000_s2077" editas="canvas" style="position:absolute;left:0;text-align:left;margin-left:-9pt;margin-top:0;width:441pt;height:616.2pt;z-index:251686912" coordorigin="-1296,248" coordsize="7056,97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8" type="#_x0000_t75" style="position:absolute;left:-1296;top:248;width:7056;height:9785" o:preferrelative="f">
              <v:fill o:detectmouseclick="t"/>
              <v:path o:extrusionok="t" o:connecttype="none"/>
              <o:lock v:ext="edit" text="t"/>
            </v:shape>
            <v:line id="_x0000_s2079" style="position:absolute" from="2160,1239" to="2160,1610">
              <v:stroke endarrow="block"/>
            </v:line>
            <v:line id="_x0000_s2080" style="position:absolute" from="2160,1982" to="2160,2601">
              <v:stroke endarrow="block"/>
            </v:line>
            <v:line id="_x0000_s2081" style="position:absolute" from="2160,2973" to="2160,3344">
              <v:stroke endarrow="block"/>
            </v:line>
            <v:line id="_x0000_s2082" style="position:absolute;flip:x" from="2160,2230" to="3888,2230">
              <v:stroke endarrow="block"/>
            </v:line>
            <v:line id="_x0000_s2083" style="position:absolute;flip:x" from="2172,3137" to="3900,3139">
              <v:stroke endarrow="block"/>
            </v:line>
            <v:line id="_x0000_s2084" style="position:absolute;flip:x" from="2154,5574" to="2160,6148">
              <v:stroke endarrow="block"/>
            </v:line>
            <v:line id="_x0000_s2085" style="position:absolute;flip:x" from="2160,6529" to="2166,6936">
              <v:stroke endarrow="block"/>
            </v:line>
            <v:line id="_x0000_s2086" style="position:absolute" from="2160,7308" to="2160,8051">
              <v:stroke endarrow="block"/>
            </v:line>
            <v:line id="_x0000_s2087" style="position:absolute" from="2160,8423" to="2160,8794">
              <v:stroke endarrow="block"/>
            </v:line>
            <v:line id="_x0000_s2088" style="position:absolute" from="2166,9209" to="2167,9613">
              <v:stroke endarrow="block"/>
            </v:line>
            <v:line id="_x0000_s2089" style="position:absolute;flip:x" from="3018,8232" to="3468,8233">
              <v:stroke endarrow="block"/>
            </v:line>
            <v:line id="_x0000_s2090" style="position:absolute;flip:x" from="3318,7125" to="3636,7126">
              <v:stroke endarrow="block"/>
            </v:line>
            <v:line id="_x0000_s2091" style="position:absolute;flip:x y" from="2160,7680" to="3506,7688">
              <v:stroke endarrow="block"/>
            </v:line>
            <v:line id="_x0000_s2092" style="position:absolute" from="-720,3964" to="5040,3964"/>
            <v:line id="_x0000_s2093" style="position:absolute" from="-720,5822" to="5040,5822"/>
            <v:line id="_x0000_s2094" style="position:absolute" from="-720,3964" to="-720,4211"/>
            <v:line id="_x0000_s2095" style="position:absolute" from="-720,5574" to="-720,5822"/>
            <v:line id="_x0000_s2096" style="position:absolute" from="720,5574" to="720,5822"/>
            <v:line id="_x0000_s2097" style="position:absolute;flip:y" from="720,3964" to="720,4211"/>
            <v:line id="_x0000_s2098" style="position:absolute;flip:y" from="2160,3716" to="2160,4211"/>
            <v:line id="_x0000_s2099" style="position:absolute;flip:y" from="3600,3964" to="3600,4211"/>
            <v:line id="_x0000_s2100" style="position:absolute" from="5040,3964" to="5040,4211"/>
            <v:line id="_x0000_s2101" style="position:absolute;flip:y" from="5040,5574" to="5040,5822"/>
            <v:line id="_x0000_s2102" style="position:absolute" from="3600,5574" to="3600,5822"/>
            <v:line id="_x0000_s2103" style="position:absolute;flip:x" from="3024,6317" to="3888,6317">
              <v:stroke endarrow="block"/>
            </v:line>
            <w10:anchorlock/>
          </v:group>
        </w:pict>
      </w:r>
    </w:p>
    <w:p w:rsidR="001F3F8C" w:rsidRPr="00E86EFD" w:rsidRDefault="001F3F8C" w:rsidP="001F3F8C">
      <w:pPr>
        <w:rPr>
          <w:color w:val="000000"/>
          <w:sz w:val="28"/>
          <w:szCs w:val="28"/>
        </w:rPr>
      </w:pPr>
      <w:r w:rsidRPr="00E86EFD">
        <w:rPr>
          <w:noProof/>
          <w:color w:val="000000"/>
        </w:rPr>
        <w:pict>
          <v:shape id="_x0000_s2072" type="#_x0000_t202" style="position:absolute;left:0;text-align:left;margin-left:292.05pt;margin-top:425.95pt;width:163.15pt;height:23.4pt;z-index:251682816" filled="f">
            <v:textbox style="mso-next-textbox:#_x0000_s2072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被审计对象十天内提交书面意见</w:t>
                  </w:r>
                </w:p>
              </w:txbxContent>
            </v:textbox>
            <w10:anchorlock/>
          </v:shape>
        </w:pict>
      </w:r>
      <w:r w:rsidRPr="00E86EFD">
        <w:rPr>
          <w:noProof/>
          <w:color w:val="000000"/>
        </w:rPr>
        <w:pict>
          <v:group id="_x0000_s2075" editas="canvas" style="position:absolute;left:0;text-align:left;margin-left:36pt;margin-top:608.4pt;width:81pt;height:54.6pt;z-index:251685888" coordorigin="2204,7323" coordsize="1296,867">
            <o:lock v:ext="edit" aspectratio="t"/>
            <v:shape id="_x0000_s2076" type="#_x0000_t75" style="position:absolute;left:2204;top:7323;width:1296;height:867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Pr="00E86EFD">
        <w:rPr>
          <w:noProof/>
          <w:color w:val="000000"/>
        </w:rPr>
        <w:pict>
          <v:shape id="_x0000_s2053" type="#_x0000_t202" style="position:absolute;left:0;text-align:left;margin-left:261pt;margin-top:218.4pt;width:81pt;height:85.8pt;z-index:251663360" filled="f">
            <v:textbox style="mso-next-textbox:#_x0000_s2053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资金使用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、是否符合十一项范围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、是否专款专用</w:t>
                  </w:r>
                </w:p>
              </w:txbxContent>
            </v:textbox>
            <w10:wrap type="topAndBottom"/>
            <w10:anchorlock/>
          </v:shape>
        </w:pict>
      </w:r>
      <w:r w:rsidRPr="00E86EFD">
        <w:rPr>
          <w:noProof/>
          <w:color w:val="000000"/>
        </w:rPr>
        <w:pict>
          <v:shape id="_x0000_s2052" type="#_x0000_t202" style="position:absolute;left:0;text-align:left;margin-left:171pt;margin-top:218.4pt;width:81pt;height:85.8pt;z-index:251662336" filled="f">
            <v:textbox style="mso-next-textbox:#_x0000_s2052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资金管理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、是否统一管理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、是否建立内部控制制度</w:t>
                  </w:r>
                </w:p>
              </w:txbxContent>
            </v:textbox>
            <w10:wrap type="topAndBottom"/>
            <w10:anchorlock/>
          </v:shape>
        </w:pict>
      </w:r>
      <w:r w:rsidRPr="00E86EFD">
        <w:rPr>
          <w:noProof/>
          <w:color w:val="000000"/>
        </w:rPr>
        <w:pict>
          <v:shape id="_x0000_s2051" type="#_x0000_t202" style="position:absolute;left:0;text-align:left;margin-left:81pt;margin-top:218.4pt;width:81pt;height:85.8pt;z-index:251661312" filled="f">
            <v:textbox style="mso-next-textbox:#_x0000_s2051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资金预算</w:t>
                  </w:r>
                </w:p>
                <w:p w:rsidR="001F3F8C" w:rsidRDefault="001F3F8C" w:rsidP="001F3F8C">
                  <w:r>
                    <w:t>1</w:t>
                  </w:r>
                  <w:r>
                    <w:rPr>
                      <w:rFonts w:cs="宋体" w:hint="eastAsia"/>
                    </w:rPr>
                    <w:t>、符合相关规定</w:t>
                  </w:r>
                </w:p>
                <w:p w:rsidR="001F3F8C" w:rsidRPr="00F40AB9" w:rsidRDefault="001F3F8C" w:rsidP="001F3F8C">
                  <w:r>
                    <w:t>2</w:t>
                  </w:r>
                  <w:r>
                    <w:rPr>
                      <w:rFonts w:cs="宋体" w:hint="eastAsia"/>
                    </w:rPr>
                    <w:t>、有无超预算或调整预算</w:t>
                  </w:r>
                </w:p>
              </w:txbxContent>
            </v:textbox>
            <w10:wrap type="topAndBottom"/>
            <w10:anchorlock/>
          </v:shape>
        </w:pict>
      </w:r>
      <w:r w:rsidRPr="00E86EFD">
        <w:rPr>
          <w:noProof/>
          <w:color w:val="000000"/>
        </w:rPr>
        <w:pict>
          <v:shape id="_x0000_s2050" type="#_x0000_t202" style="position:absolute;left:0;text-align:left;margin-left:-9pt;margin-top:218.4pt;width:81pt;height:85.8pt;z-index:251660288" filled="f">
            <v:textbox style="mso-next-textbox:#_x0000_s2050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资金筹措</w:t>
                  </w:r>
                </w:p>
                <w:p w:rsidR="001F3F8C" w:rsidRDefault="001F3F8C" w:rsidP="001F3F8C"/>
                <w:p w:rsidR="001F3F8C" w:rsidRDefault="001F3F8C" w:rsidP="001F3F8C">
                  <w:r>
                    <w:rPr>
                      <w:rFonts w:cs="宋体" w:hint="eastAsia"/>
                    </w:rPr>
                    <w:t>是否及时、足额</w:t>
                  </w:r>
                </w:p>
              </w:txbxContent>
            </v:textbox>
            <w10:wrap type="topAndBottom"/>
            <w10:anchorlock/>
          </v:shape>
        </w:pict>
      </w:r>
      <w:r w:rsidRPr="00E86EFD">
        <w:rPr>
          <w:noProof/>
          <w:color w:val="000000"/>
        </w:rPr>
        <w:pict>
          <v:shape id="_x0000_s2054" type="#_x0000_t202" style="position:absolute;left:0;text-align:left;margin-left:351pt;margin-top:218.4pt;width:81pt;height:85.8pt;z-index:251664384" filled="f">
            <v:textbox style="mso-next-textbox:#_x0000_s2054">
              <w:txbxContent>
                <w:p w:rsidR="001F3F8C" w:rsidRDefault="001F3F8C" w:rsidP="001F3F8C">
                  <w:r>
                    <w:rPr>
                      <w:rFonts w:cs="宋体" w:hint="eastAsia"/>
                    </w:rPr>
                    <w:t>绩效考核</w:t>
                  </w:r>
                </w:p>
                <w:p w:rsidR="001F3F8C" w:rsidRDefault="001F3F8C" w:rsidP="001F3F8C"/>
                <w:p w:rsidR="001F3F8C" w:rsidRDefault="001F3F8C" w:rsidP="001F3F8C">
                  <w:r>
                    <w:rPr>
                      <w:rFonts w:cs="宋体" w:hint="eastAsia"/>
                    </w:rPr>
                    <w:t>是否建立绩效考核体系</w:t>
                  </w:r>
                </w:p>
              </w:txbxContent>
            </v:textbox>
            <w10:wrap type="topAndBottom"/>
            <w10:anchorlock/>
          </v:shape>
        </w:pict>
      </w: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1F3F8C" w:rsidRPr="00E86EFD" w:rsidRDefault="001F3F8C" w:rsidP="001F3F8C">
      <w:pPr>
        <w:pStyle w:val="a5"/>
        <w:rPr>
          <w:rFonts w:ascii="Simsun" w:hAnsi="Simsun" w:cs="Simsun"/>
          <w:color w:val="000000"/>
          <w:sz w:val="21"/>
          <w:szCs w:val="21"/>
        </w:rPr>
      </w:pPr>
    </w:p>
    <w:p w:rsidR="00C918D7" w:rsidRPr="001F3F8C" w:rsidRDefault="00C918D7"/>
    <w:sectPr w:rsidR="00C918D7" w:rsidRPr="001F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D7" w:rsidRDefault="00C918D7" w:rsidP="001F3F8C">
      <w:r>
        <w:separator/>
      </w:r>
    </w:p>
  </w:endnote>
  <w:endnote w:type="continuationSeparator" w:id="1">
    <w:p w:rsidR="00C918D7" w:rsidRDefault="00C918D7" w:rsidP="001F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D7" w:rsidRDefault="00C918D7" w:rsidP="001F3F8C">
      <w:r>
        <w:separator/>
      </w:r>
    </w:p>
  </w:footnote>
  <w:footnote w:type="continuationSeparator" w:id="1">
    <w:p w:rsidR="00C918D7" w:rsidRDefault="00C918D7" w:rsidP="001F3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F8C"/>
    <w:rsid w:val="001F3F8C"/>
    <w:rsid w:val="00C9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F8C"/>
    <w:rPr>
      <w:sz w:val="18"/>
      <w:szCs w:val="18"/>
    </w:rPr>
  </w:style>
  <w:style w:type="paragraph" w:styleId="a5">
    <w:name w:val="Normal (Web)"/>
    <w:basedOn w:val="a"/>
    <w:rsid w:val="001F3F8C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2015-06-07T05:24:00Z</dcterms:created>
  <dcterms:modified xsi:type="dcterms:W3CDTF">2015-06-07T05:25:00Z</dcterms:modified>
</cp:coreProperties>
</file>